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t>YTLG-1</w:t>
      </w:r>
      <w:r>
        <w:rPr>
          <w:rFonts w:hint="eastAsia"/>
          <w:sz w:val="48"/>
          <w:szCs w:val="48"/>
          <w:lang w:val="en-US" w:eastAsia="zh-CN"/>
        </w:rPr>
        <w:t>8</w:t>
      </w:r>
      <w:r>
        <w:rPr>
          <w:rFonts w:hint="eastAsia"/>
          <w:sz w:val="48"/>
          <w:szCs w:val="48"/>
        </w:rPr>
        <w:t>系列真空冷冻干燥机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●产品特点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153670</wp:posOffset>
            </wp:positionV>
            <wp:extent cx="3396615" cy="3396615"/>
            <wp:effectExtent l="0" t="0" r="13335" b="13335"/>
            <wp:wrapSquare wrapText="bothSides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采用微电脑控制系统，操作简单方便，运行稳定可靠。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控制屏为彩色触摸屏，人机交互界面友好，显示屏有锁屏功能，可实现手机端、电脑端远程控制。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实时显示记录真空度、冷阱温度、物料温度并形成冻干曲线，可连续记录物料和设备状况数据，支持数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据浏览、分析、打印及存储，配置USB数据存储串口。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原装进口封闭式压缩机，单机混合环保制冷技术，绿色环保冷媒，制冷迅速，冷阱温度低，捕水能力强。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冷阱腔体、物料盘、物料架、机身顶部接触面为304不锈钢材料，冷阱腔内无盘管，光洁耐腐蚀且易清洁。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冷阱具有前期样品独立预冻功能，无需再配备超低温冰箱或用液氮处理。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采用防返油真空泵，主机与真空泵采用国标KF25快卸法兰连接。</w:t>
      </w:r>
    </w:p>
    <w:p>
      <w:pPr>
        <w:pStyle w:val="21"/>
        <w:numPr>
          <w:ilvl w:val="0"/>
          <w:numId w:val="1"/>
        </w:numPr>
        <w:spacing w:after="60"/>
        <w:ind w:firstLineChars="0"/>
        <w:rPr>
          <w:rFonts w:hint="default" w:eastAsia="微软雅黑"/>
          <w:lang w:val="en-US" w:eastAsia="zh-CN"/>
        </w:rPr>
      </w:pPr>
      <w:r>
        <w:rPr>
          <w:rFonts w:hint="eastAsia"/>
        </w:rPr>
        <w:t>干燥室采用耐高压，耐低温航空亚克力材质高透明桶，可观察物料冻干变化全过</w:t>
      </w:r>
      <w:bookmarkStart w:id="0" w:name="_GoBack"/>
      <w:bookmarkEnd w:id="0"/>
      <w:r>
        <w:rPr>
          <w:rFonts w:hint="eastAsia"/>
        </w:rPr>
        <w:t>程。</w:t>
      </w:r>
      <w:r>
        <w:rPr>
          <w:rFonts w:hint="eastAsia"/>
          <w:lang w:val="en-US" w:eastAsia="zh-CN"/>
        </w:rPr>
        <w:t>底座配置滑轮移动便捷。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具有冷阱一键化霜功能。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●选型指南</w:t>
      </w:r>
    </w:p>
    <w:tbl>
      <w:tblPr>
        <w:tblStyle w:val="10"/>
        <w:tblW w:w="8762" w:type="dxa"/>
        <w:tblInd w:w="0" w:type="dxa"/>
        <w:tblBorders>
          <w:top w:val="single" w:color="4BACC6" w:themeColor="accent5" w:sz="8" w:space="0"/>
          <w:left w:val="none" w:color="auto" w:sz="0" w:space="0"/>
          <w:bottom w:val="single" w:color="4BACC6" w:themeColor="accent5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2"/>
      </w:tblGrid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nil"/>
              <w:insideH w:val="single" w:sz="8" w:space="0"/>
              <w:insideV w:val="nil"/>
            </w:tcBorders>
          </w:tcPr>
          <w:p>
            <w:pPr>
              <w:spacing w:before="0" w:after="0"/>
              <w:rPr>
                <w:b/>
                <w:bCs/>
                <w:color w:val="31859C" w:themeColor="accent5" w:themeShade="BF"/>
              </w:rPr>
            </w:pPr>
            <w:r>
              <w:rPr>
                <w:rFonts w:hint="eastAsia"/>
                <w:b/>
                <w:bCs/>
                <w:color w:val="31859C" w:themeColor="accent5" w:themeShade="BF"/>
              </w:rPr>
              <w:t>普通型                                                                     压盖型</w:t>
            </w:r>
          </w:p>
          <w:p>
            <w:pPr>
              <w:spacing w:before="0" w:after="0"/>
              <w:rPr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适合放置散装类的物料                                             适合装载瓶装物料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left w:val="nil"/>
              <w:right w:val="nil"/>
              <w:insideV w:val="nil"/>
            </w:tcBorders>
            <w:shd w:val="clear" w:color="auto" w:fill="D2EAF0" w:themeFill="accent5" w:themeFillTint="3F"/>
          </w:tcPr>
          <w:p>
            <w:pPr>
              <w:spacing w:after="0"/>
              <w:rPr>
                <w:b/>
                <w:bCs/>
                <w:color w:val="31859C" w:themeColor="accent5" w:themeShade="BF"/>
              </w:rPr>
            </w:pPr>
            <w:r>
              <w:rPr>
                <w:rFonts w:hint="eastAsia"/>
                <w:b/>
                <w:bCs/>
                <w:color w:val="31859C" w:themeColor="accent5" w:themeShade="BF"/>
              </w:rPr>
              <w:t xml:space="preserve">普通多歧管型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color w:val="31859C" w:themeColor="accent5" w:themeShade="BF"/>
                <w:sz w:val="24"/>
                <w:szCs w:val="24"/>
              </w:rPr>
              <w:t>T型架型</w:t>
            </w:r>
          </w:p>
          <w:p>
            <w:pPr>
              <w:spacing w:after="0"/>
              <w:rPr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适合装载外挂瓶物料和散装类物料                             </w:t>
            </w:r>
            <w:r>
              <w:rPr>
                <w:rFonts w:hint="eastAsia" w:ascii="微软雅黑" w:hAnsi="微软雅黑" w:cs="宋体"/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可同时进行24个安瓿管的冻干</w:t>
            </w:r>
            <w:r>
              <w:rPr>
                <w:rFonts w:hint="eastAsia"/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                    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</w:tcPr>
          <w:p>
            <w:pPr>
              <w:spacing w:after="0"/>
              <w:rPr>
                <w:b/>
                <w:bCs/>
                <w:color w:val="31859C" w:themeColor="accent5" w:themeShade="BF"/>
              </w:rPr>
            </w:pPr>
            <w:r>
              <w:rPr>
                <w:rFonts w:hint="eastAsia"/>
                <w:b/>
                <w:bCs/>
                <w:color w:val="31859C" w:themeColor="accent5" w:themeShade="BF"/>
              </w:rPr>
              <w:t>多歧管压盖型</w:t>
            </w:r>
          </w:p>
          <w:p>
            <w:pPr>
              <w:spacing w:after="0"/>
              <w:rPr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/>
                <w:b/>
                <w:bCs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适合装载外挂瓶物料、瓶装物料和散装类物料</w:t>
            </w:r>
          </w:p>
        </w:tc>
      </w:tr>
    </w:tbl>
    <w:p>
      <w:pPr>
        <w:rPr>
          <w:rFonts w:hint="eastAsia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-91440</wp:posOffset>
            </wp:positionV>
            <wp:extent cx="1541145" cy="2115820"/>
            <wp:effectExtent l="0" t="0" r="1905" b="17780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rcRect l="14991" t="609" r="13668" b="1490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-135890</wp:posOffset>
            </wp:positionV>
            <wp:extent cx="2160270" cy="2160270"/>
            <wp:effectExtent l="0" t="0" r="11430" b="11430"/>
            <wp:wrapSquare wrapText="bothSides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l="882" t="-441" r="-882" b="4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-135890</wp:posOffset>
            </wp:positionV>
            <wp:extent cx="1598295" cy="2160270"/>
            <wp:effectExtent l="0" t="0" r="59055" b="11430"/>
            <wp:wrapThrough wrapText="bothSides">
              <wp:wrapPolygon>
                <wp:start x="0" y="0"/>
                <wp:lineTo x="0" y="21333"/>
                <wp:lineTo x="21368" y="21333"/>
                <wp:lineTo x="21368" y="0"/>
                <wp:lineTo x="0" y="0"/>
              </wp:wrapPolygon>
            </wp:wrapThrough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5873" r="10141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/>
      </w:pPr>
      <w:r>
        <w:rPr>
          <w:rFonts w:hint="eastAsia"/>
        </w:rPr>
        <w:t>普通型                                         普通多歧管型                               多歧管压盖型</w:t>
      </w:r>
    </w:p>
    <w:p>
      <w:pPr>
        <w:spacing w:after="120"/>
      </w:pPr>
      <w:r>
        <w:rPr>
          <w:rFonts w:hint="eastAsia"/>
        </w:rPr>
        <w:t>YTLG-1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A                                     YTLG-1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C                                    YTLG-1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D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●技术参数</w:t>
      </w:r>
    </w:p>
    <w:tbl>
      <w:tblPr>
        <w:tblStyle w:val="11"/>
        <w:tblW w:w="9213" w:type="dxa"/>
        <w:tblInd w:w="0" w:type="dxa"/>
        <w:tbl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single" w:color="4BACC6" w:themeColor="accent5" w:sz="8" w:space="0"/>
          <w:insideV w:val="single" w:color="4BACC6" w:themeColor="accent5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31"/>
        <w:gridCol w:w="1532"/>
        <w:gridCol w:w="1532"/>
        <w:gridCol w:w="1532"/>
        <w:gridCol w:w="1532"/>
      </w:tblGrid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型号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</w:t>
            </w:r>
            <w:r>
              <w:rPr>
                <w:rFonts w:hint="eastAsia" w:eastAsiaTheme="majorEastAsia" w:cstheme="majorBidi"/>
                <w:b/>
                <w:bCs/>
                <w:lang w:val="en-US" w:eastAsia="zh-CN"/>
              </w:rPr>
              <w:t>8</w:t>
            </w:r>
            <w:r>
              <w:rPr>
                <w:rFonts w:hint="eastAsia" w:eastAsiaTheme="majorEastAsia" w:cstheme="majorBidi"/>
                <w:b/>
                <w:bCs/>
              </w:rPr>
              <w:t>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</w:t>
            </w:r>
            <w:r>
              <w:rPr>
                <w:rFonts w:hint="eastAsia" w:eastAsiaTheme="majorEastAsia" w:cstheme="majorBidi"/>
                <w:b/>
                <w:bCs/>
                <w:lang w:val="en-US" w:eastAsia="zh-CN"/>
              </w:rPr>
              <w:t>8</w:t>
            </w:r>
            <w:r>
              <w:rPr>
                <w:rFonts w:hint="eastAsia" w:eastAsiaTheme="majorEastAsia" w:cstheme="majorBidi"/>
                <w:b/>
                <w:bCs/>
              </w:rPr>
              <w:t>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</w:t>
            </w:r>
            <w:r>
              <w:rPr>
                <w:rFonts w:hint="eastAsia" w:eastAsiaTheme="majorEastAsia" w:cstheme="majorBidi"/>
                <w:b/>
                <w:bCs/>
                <w:lang w:val="en-US" w:eastAsia="zh-CN"/>
              </w:rPr>
              <w:t>8</w:t>
            </w:r>
            <w:r>
              <w:rPr>
                <w:rFonts w:hint="eastAsia" w:eastAsiaTheme="majorEastAsia" w:cstheme="majorBidi"/>
                <w:b/>
                <w:bCs/>
              </w:rPr>
              <w:t>C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</w:t>
            </w:r>
            <w:r>
              <w:rPr>
                <w:rFonts w:hint="eastAsia" w:eastAsiaTheme="majorEastAsia" w:cstheme="majorBidi"/>
                <w:b/>
                <w:bCs/>
                <w:lang w:val="en-US" w:eastAsia="zh-CN"/>
              </w:rPr>
              <w:t>8</w:t>
            </w:r>
            <w:r>
              <w:rPr>
                <w:rFonts w:hint="eastAsia" w:eastAsiaTheme="majorEastAsia" w:cstheme="majorBidi"/>
                <w:b/>
                <w:bCs/>
              </w:rPr>
              <w:t>D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</w:t>
            </w:r>
            <w:r>
              <w:rPr>
                <w:rFonts w:hint="eastAsia" w:eastAsiaTheme="majorEastAsia" w:cstheme="majorBidi"/>
                <w:b/>
                <w:bCs/>
                <w:lang w:val="en-US" w:eastAsia="zh-CN"/>
              </w:rPr>
              <w:t>8</w:t>
            </w:r>
            <w:r>
              <w:rPr>
                <w:rFonts w:hint="eastAsia" w:eastAsiaTheme="majorEastAsia" w:cstheme="majorBidi"/>
                <w:b/>
                <w:bCs/>
              </w:rPr>
              <w:t>E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规格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普通多歧管型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多歧管压盖型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T型架型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冷阱温度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补水量(kg/批)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达标真空度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极限真空度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物料托盘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eastAsia"/>
              </w:rPr>
              <w:t>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200</w:t>
            </w:r>
            <w:r>
              <w:rPr>
                <w:rFonts w:hint="eastAsia"/>
              </w:rPr>
              <w:t>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240</w:t>
            </w:r>
            <w:r>
              <w:rPr>
                <w:rFonts w:hint="eastAsia"/>
              </w:rPr>
              <w:t>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200</w:t>
            </w:r>
            <w:r>
              <w:rPr>
                <w:rFonts w:hint="eastAsia"/>
              </w:rPr>
              <w:t>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配置24个干燥瓶接口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整机功率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1400W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主机重量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70kg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外形尺寸mm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685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900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685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900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685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900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685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900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  <w:lang w:val="en-US" w:eastAsia="zh-CN"/>
              </w:rPr>
              <w:t>685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560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900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电源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适用环境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整机运行噪音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</w:tr>
    </w:tbl>
    <w:p>
      <w:pPr>
        <w:pStyle w:val="3"/>
        <w:spacing w:afterLines="100" w:line="240" w:lineRule="auto"/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●应用领域</w:t>
      </w:r>
    </w:p>
    <w:p>
      <w:r>
        <w:rPr>
          <w:rFonts w:hint="eastAsia"/>
        </w:rPr>
        <w:t>适用于生物研究、医学制药、化工、食品加工、大专院校等领域进行冷冻干燥、菌种保存等。</w:t>
      </w:r>
    </w:p>
    <w:p>
      <w:r>
        <w:rPr>
          <w:rFonts w:hint="eastAsia"/>
        </w:rPr>
        <w:t>适用于大多数细菌、放线菌、病毒、噬菌体、立克次体、霉菌和酵母等的真空冷冻干燥保藏，但不适于霉菌的菌丝型、菇类、藻类和原虫等。</w:t>
      </w:r>
    </w:p>
    <w:p/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●细节展示</w:t>
      </w:r>
    </w:p>
    <w:p>
      <w:r>
        <w:drawing>
          <wp:inline distT="0" distB="0" distL="0" distR="0">
            <wp:extent cx="5572125" cy="1626870"/>
            <wp:effectExtent l="19050" t="0" r="9525" b="0"/>
            <wp:docPr id="2" name="图片 1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33550"/>
            <wp:effectExtent l="19050" t="0" r="0" b="0"/>
            <wp:docPr id="7" name="图片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0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88795"/>
            <wp:effectExtent l="19050" t="0" r="0" b="0"/>
            <wp:docPr id="8" name="图片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0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11" cy="17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●操作面板</w:t>
      </w:r>
    </w:p>
    <w:p>
      <w:r>
        <w:rPr>
          <w:rFonts w:hint="eastAsia"/>
        </w:rPr>
        <w:drawing>
          <wp:inline distT="0" distB="0" distL="0" distR="0">
            <wp:extent cx="5274310" cy="1756410"/>
            <wp:effectExtent l="19050" t="0" r="2540" b="0"/>
            <wp:docPr id="9" name="图片 8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3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283210</wp:posOffset>
            </wp:positionV>
            <wp:extent cx="3028950" cy="4562475"/>
            <wp:effectExtent l="19050" t="0" r="0" b="0"/>
            <wp:wrapSquare wrapText="bothSides"/>
            <wp:docPr id="10" name="图片 9" descr="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kz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●可选配远程控制</w:t>
      </w:r>
    </w:p>
    <w:p>
      <w:r>
        <w:rPr>
          <w:rFonts w:hint="eastAsia"/>
        </w:rPr>
        <w:t>可实现手机端、电脑端远程控制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可远程操作仪器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可查看报警信息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可查看冻干曲线</w:t>
      </w:r>
    </w:p>
    <w:p>
      <w:r>
        <w:rPr>
          <w:rFonts w:hint="eastAsia"/>
        </w:rPr>
        <w:t xml:space="preserve">                                  </w:t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-47625</wp:posOffset>
            </wp:positionV>
            <wp:extent cx="5274310" cy="5457825"/>
            <wp:effectExtent l="19050" t="0" r="2540" b="0"/>
            <wp:wrapNone/>
            <wp:docPr id="11" name="图片 10" descr="冻干机2详情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冻干机2详情_0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-1304925</wp:posOffset>
          </wp:positionH>
          <wp:positionV relativeFrom="margin">
            <wp:posOffset>-1276350</wp:posOffset>
          </wp:positionV>
          <wp:extent cx="1657350" cy="1657350"/>
          <wp:effectExtent l="0" t="0" r="0" b="0"/>
          <wp:wrapSquare wrapText="bothSides"/>
          <wp:docPr id="1" name="图片 0" descr="叶拓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叶拓-0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109FF"/>
    <w:multiLevelType w:val="multilevel"/>
    <w:tmpl w:val="235109F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2F4FF5"/>
    <w:multiLevelType w:val="multilevel"/>
    <w:tmpl w:val="4D2F4F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832F7"/>
    <w:rsid w:val="0020103B"/>
    <w:rsid w:val="00317C2F"/>
    <w:rsid w:val="00323B43"/>
    <w:rsid w:val="003D37D8"/>
    <w:rsid w:val="00426133"/>
    <w:rsid w:val="004358AB"/>
    <w:rsid w:val="004E5917"/>
    <w:rsid w:val="004F5825"/>
    <w:rsid w:val="0061397C"/>
    <w:rsid w:val="006A5CF0"/>
    <w:rsid w:val="006C2492"/>
    <w:rsid w:val="008B7726"/>
    <w:rsid w:val="00A26F6A"/>
    <w:rsid w:val="00CC780B"/>
    <w:rsid w:val="00CF6AB5"/>
    <w:rsid w:val="00D31D50"/>
    <w:rsid w:val="00D70796"/>
    <w:rsid w:val="00E363AD"/>
    <w:rsid w:val="00E55CD6"/>
    <w:rsid w:val="00EA6913"/>
    <w:rsid w:val="00F4353D"/>
    <w:rsid w:val="00FC5AB4"/>
    <w:rsid w:val="3E0B49E0"/>
    <w:rsid w:val="4A25462C"/>
    <w:rsid w:val="4C055CA1"/>
    <w:rsid w:val="4DAF628C"/>
    <w:rsid w:val="4EBA09A4"/>
    <w:rsid w:val="5D01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table" w:styleId="9">
    <w:name w:val="Table Grid"/>
    <w:basedOn w:val="8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Shading Accent 5"/>
    <w:basedOn w:val="8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11">
    <w:name w:val="Light Grid Accent 5"/>
    <w:basedOn w:val="8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12">
    <w:name w:val="Medium Shading 1 Accent 5"/>
    <w:basedOn w:val="8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">
    <w:name w:val="Medium Grid 3 Accent 5"/>
    <w:basedOn w:val="8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character" w:customStyle="1" w:styleId="15">
    <w:name w:val="页眉 Char"/>
    <w:basedOn w:val="14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Char"/>
    <w:basedOn w:val="14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批注框文本 Char"/>
    <w:basedOn w:val="14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9">
    <w:name w:val="副标题 Char"/>
    <w:basedOn w:val="14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table" w:customStyle="1" w:styleId="22">
    <w:name w:val="浅色底纹 - 强调文字颜色 11"/>
    <w:basedOn w:val="8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261</Words>
  <Characters>1493</Characters>
  <Lines>12</Lines>
  <Paragraphs>3</Paragraphs>
  <TotalTime>6</TotalTime>
  <ScaleCrop>false</ScaleCrop>
  <LinksUpToDate>false</LinksUpToDate>
  <CharactersWithSpaces>1751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2020-03-11T02:30:53Z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